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b w:val="1"/>
          <w:rtl w:val="0"/>
        </w:rPr>
        <w:t xml:space="preserve">Madde 1- </w:t>
      </w:r>
      <w:r w:rsidDel="00000000" w:rsidR="00000000" w:rsidRPr="00000000">
        <w:rPr>
          <w:rtl w:val="0"/>
        </w:rPr>
        <w:t xml:space="preserve">Bu sözleşme, 3308 sayılı Mesleki Eğitim Kanununa uygun olarak, mesleki ve teknik eğitim yapan program öğrencilerinin işletmelerde yapılacak uygulamalı eğitimlerinin esaslarını düzenlemek amacıyla ilgili Fakülte/ Yüksekokul / Meslek Yüksekokulu, işveren ve öğrenci arasında imzalanır. </w:t>
      </w:r>
    </w:p>
    <w:p w:rsidR="00000000" w:rsidDel="00000000" w:rsidP="00000000" w:rsidRDefault="00000000" w:rsidRPr="00000000" w14:paraId="00000002">
      <w:pPr>
        <w:spacing w:line="240" w:lineRule="auto"/>
        <w:rPr/>
      </w:pPr>
      <w:r w:rsidDel="00000000" w:rsidR="00000000" w:rsidRPr="00000000">
        <w:rPr>
          <w:b w:val="1"/>
          <w:rtl w:val="0"/>
        </w:rPr>
        <w:t xml:space="preserve">Madde 2- </w:t>
      </w:r>
      <w:r w:rsidDel="00000000" w:rsidR="00000000" w:rsidRPr="00000000">
        <w:rPr>
          <w:rtl w:val="0"/>
        </w:rPr>
        <w:t xml:space="preserve">Üç nüsha olarak düzenlenen ve taraflarca imzalanan bu sözleşmenin bir nüshası ilgili yükseköğretim kurumunda, bir nüshası işletmede, bir nüshası da öğrencide bulunur.</w:t>
      </w:r>
    </w:p>
    <w:p w:rsidR="00000000" w:rsidDel="00000000" w:rsidP="00000000" w:rsidRDefault="00000000" w:rsidRPr="00000000" w14:paraId="00000003">
      <w:pPr>
        <w:spacing w:line="240" w:lineRule="auto"/>
        <w:rPr/>
      </w:pPr>
      <w:r w:rsidDel="00000000" w:rsidR="00000000" w:rsidRPr="00000000">
        <w:rPr>
          <w:b w:val="1"/>
          <w:rtl w:val="0"/>
        </w:rPr>
        <w:t xml:space="preserve">Madde 3- </w:t>
      </w:r>
      <w:r w:rsidDel="00000000" w:rsidR="00000000" w:rsidRPr="00000000">
        <w:rPr>
          <w:rtl w:val="0"/>
        </w:rPr>
        <w:t xml:space="preserve">İşletmelerde yapılacak uygulamalı eğitim, Bursa Uludağ Üniversitesi akademik takvimine göre planlanır ve yapılır.</w:t>
      </w:r>
    </w:p>
    <w:p w:rsidR="00000000" w:rsidDel="00000000" w:rsidP="00000000" w:rsidRDefault="00000000" w:rsidRPr="00000000" w14:paraId="00000004">
      <w:pPr>
        <w:spacing w:line="240" w:lineRule="auto"/>
        <w:rPr/>
      </w:pPr>
      <w:r w:rsidDel="00000000" w:rsidR="00000000" w:rsidRPr="00000000">
        <w:rPr>
          <w:b w:val="1"/>
          <w:rtl w:val="0"/>
        </w:rPr>
        <w:t xml:space="preserve">Madde 4- </w:t>
      </w:r>
      <w:r w:rsidDel="00000000" w:rsidR="00000000" w:rsidRPr="00000000">
        <w:rPr>
          <w:rtl w:val="0"/>
        </w:rPr>
        <w:t xml:space="preserve">Öğrencilerin yapmakta oldukları uygulamalı eğitim sırasında, iş yeri kusurundan dolayı meydana gelebilecek iş kazaları ve meslek hastalıklarından işveren/işveren vekili sorumludur.</w:t>
      </w:r>
    </w:p>
    <w:p w:rsidR="00000000" w:rsidDel="00000000" w:rsidP="00000000" w:rsidRDefault="00000000" w:rsidRPr="00000000" w14:paraId="00000005">
      <w:pPr>
        <w:spacing w:line="240" w:lineRule="auto"/>
        <w:rPr/>
      </w:pPr>
      <w:r w:rsidDel="00000000" w:rsidR="00000000" w:rsidRPr="00000000">
        <w:rPr>
          <w:b w:val="1"/>
          <w:rtl w:val="0"/>
        </w:rPr>
        <w:t xml:space="preserve">Madde 5- </w:t>
      </w:r>
      <w:r w:rsidDel="00000000" w:rsidR="00000000" w:rsidRPr="00000000">
        <w:rPr>
          <w:rtl w:val="0"/>
        </w:rPr>
        <w:t xml:space="preserve">İşletmelerde uygulamalı eğitim, “B.U.Ü. Önlisans ve Lisans Eğitim Öğretim Yönetmeliği” ve “BUÜ Uygulamalı Eğitimler Yönergesi” hükümlerine göre yürütülür.</w:t>
      </w:r>
    </w:p>
    <w:p w:rsidR="00000000" w:rsidDel="00000000" w:rsidP="00000000" w:rsidRDefault="00000000" w:rsidRPr="00000000" w14:paraId="00000006">
      <w:pPr>
        <w:spacing w:line="240" w:lineRule="auto"/>
        <w:rPr/>
      </w:pPr>
      <w:r w:rsidDel="00000000" w:rsidR="00000000" w:rsidRPr="00000000">
        <w:rPr>
          <w:b w:val="1"/>
          <w:rtl w:val="0"/>
        </w:rPr>
        <w:t xml:space="preserve">Madde 6- </w:t>
      </w:r>
      <w:r w:rsidDel="00000000" w:rsidR="00000000" w:rsidRPr="00000000">
        <w:rPr>
          <w:rtl w:val="0"/>
        </w:rPr>
        <w:t xml:space="preserve">Bursa Uludağ</w:t>
      </w:r>
      <w:r w:rsidDel="00000000" w:rsidR="00000000" w:rsidRPr="00000000">
        <w:rPr>
          <w:b w:val="1"/>
          <w:rtl w:val="0"/>
        </w:rPr>
        <w:t xml:space="preserve"> </w:t>
      </w:r>
      <w:r w:rsidDel="00000000" w:rsidR="00000000" w:rsidRPr="00000000">
        <w:rPr>
          <w:rtl w:val="0"/>
        </w:rPr>
        <w:t xml:space="preserve">Üniversitesi akademik takvimine göre yapılacak olan; ilgili yönergede tanımlanan zorunlu staj/isteğe bağlı staj/dönem içi staj ve işletmede Mesleki Eğitim takvimine girmek üzere taraflarca imzalanan bu sözleşme, öğrencilerin uygulamalı eğitimlerini tamamladığı tarihe kadar geçerlidir.</w:t>
      </w:r>
    </w:p>
    <w:p w:rsidR="00000000" w:rsidDel="00000000" w:rsidP="00000000" w:rsidRDefault="00000000" w:rsidRPr="00000000" w14:paraId="00000007">
      <w:pPr>
        <w:spacing w:line="240" w:lineRule="auto"/>
        <w:rPr/>
      </w:pPr>
      <w:r w:rsidDel="00000000" w:rsidR="00000000" w:rsidRPr="00000000">
        <w:rPr>
          <w:b w:val="1"/>
          <w:rtl w:val="0"/>
        </w:rPr>
        <w:t xml:space="preserve">Madde 7</w:t>
      </w:r>
      <w:r w:rsidDel="00000000" w:rsidR="00000000" w:rsidRPr="00000000">
        <w:rPr>
          <w:rtl w:val="0"/>
        </w:rPr>
        <w:t xml:space="preserve">- Sözleşme; iş yerinin çeşitli sebeplerle kapatılması, iş yeri sahibinin değişmesi hâlinde yeni iş yerinin aynı mesleği/üretimi sürdürememesi, öğrencilerin öğrenim görmekte oldukları okuldan “B.U.Ü Öğrenci Disiplin Yönetmeliği” hükümlerine göre uzaklaştırma cezası aldığı sürece veya çıkarma cezası alarak ilişiğinin kesilmesi durumunda sözleşme feshedilir.</w:t>
      </w:r>
    </w:p>
    <w:p w:rsidR="00000000" w:rsidDel="00000000" w:rsidP="00000000" w:rsidRDefault="00000000" w:rsidRPr="00000000" w14:paraId="00000008">
      <w:pPr>
        <w:spacing w:line="240" w:lineRule="auto"/>
        <w:rPr/>
      </w:pPr>
      <w:r w:rsidDel="00000000" w:rsidR="00000000" w:rsidRPr="00000000">
        <w:rPr>
          <w:b w:val="1"/>
          <w:rtl w:val="0"/>
        </w:rPr>
        <w:t xml:space="preserve">Madde 8- </w:t>
      </w:r>
      <w:r w:rsidDel="00000000" w:rsidR="00000000" w:rsidRPr="00000000">
        <w:rPr>
          <w:rtl w:val="0"/>
        </w:rPr>
        <w:t xml:space="preserve">Öğrenciler, belirlenen tarihlerdeki uygulamalı eğitimlerine işletmelere devam etmek zorundadırlar. İşletmelerdeki uygulamalı eğitime mazeretsiz olarak devam etmeyen öğrencilerin ücretleri kesilebilir. Bu konuda işletmeler yetkilidir.</w:t>
      </w:r>
    </w:p>
    <w:p w:rsidR="00000000" w:rsidDel="00000000" w:rsidP="00000000" w:rsidRDefault="00000000" w:rsidRPr="00000000" w14:paraId="00000009">
      <w:pPr>
        <w:spacing w:line="240" w:lineRule="auto"/>
        <w:rPr/>
      </w:pPr>
      <w:r w:rsidDel="00000000" w:rsidR="00000000" w:rsidRPr="00000000">
        <w:rPr>
          <w:b w:val="1"/>
          <w:rtl w:val="0"/>
        </w:rPr>
        <w:t xml:space="preserve">Madde 9- </w:t>
      </w:r>
      <w:r w:rsidDel="00000000" w:rsidR="00000000" w:rsidRPr="00000000">
        <w:rPr>
          <w:rtl w:val="0"/>
        </w:rPr>
        <w:t xml:space="preserve">İşletme yetkilileri, mazeretsiz olarak üç (3) iş günü uygulamalı eğitime gelmeyen öğrenciyi, en geç beş (5) iş günü içinde ilgili Fakülte / Yüksekokul / Meslek Yüksekokulu yönetimine bildirir.</w:t>
      </w:r>
    </w:p>
    <w:p w:rsidR="00000000" w:rsidDel="00000000" w:rsidP="00000000" w:rsidRDefault="00000000" w:rsidRPr="00000000" w14:paraId="0000000A">
      <w:pPr>
        <w:spacing w:line="240" w:lineRule="auto"/>
        <w:rPr/>
      </w:pPr>
      <w:r w:rsidDel="00000000" w:rsidR="00000000" w:rsidRPr="00000000">
        <w:rPr>
          <w:b w:val="1"/>
          <w:rtl w:val="0"/>
        </w:rPr>
        <w:t xml:space="preserve">Madde 10- </w:t>
      </w:r>
      <w:r w:rsidDel="00000000" w:rsidR="00000000" w:rsidRPr="00000000">
        <w:rPr>
          <w:rtl w:val="0"/>
        </w:rPr>
        <w:t xml:space="preserve">Öğrencilerin işletmelerde disiplin soruşturmasını gerektirecek davranışlarda bulunmaları halinde, bu durum işletme tarafından ilgili Fakülte / Yüksekokul / Meslek Yüksekokulu yönetimine yazılı olarak bildirilir. Disiplin soruşturması, Yükseköğretim Kurumları Öğrenci Disiplin Yönetmeliği hükümlerine göre yürütülür. Sonuç, işletmeye yazılı olarak bildirilir.</w:t>
      </w:r>
    </w:p>
    <w:p w:rsidR="00000000" w:rsidDel="00000000" w:rsidP="00000000" w:rsidRDefault="00000000" w:rsidRPr="00000000" w14:paraId="0000000B">
      <w:pPr>
        <w:spacing w:line="240" w:lineRule="auto"/>
        <w:rPr/>
      </w:pPr>
      <w:r w:rsidDel="00000000" w:rsidR="00000000" w:rsidRPr="00000000">
        <w:rPr>
          <w:b w:val="1"/>
          <w:rtl w:val="0"/>
        </w:rPr>
        <w:t xml:space="preserve">Madde 11- </w:t>
      </w:r>
      <w:r w:rsidDel="00000000" w:rsidR="00000000" w:rsidRPr="00000000">
        <w:rPr>
          <w:rtl w:val="0"/>
        </w:rPr>
        <w:t xml:space="preserve">İşletmelerde uygulamalı eğitim gören öğrencilerin başarı durumu, Bursa Uludağ Üniversitesi Uygulamalı Eğitimler Yönergesi hükümlerine göre belirlenir.</w:t>
      </w:r>
    </w:p>
    <w:p w:rsidR="00000000" w:rsidDel="00000000" w:rsidP="00000000" w:rsidRDefault="00000000" w:rsidRPr="00000000" w14:paraId="0000000C">
      <w:pPr>
        <w:spacing w:line="240" w:lineRule="auto"/>
        <w:rPr>
          <w:rFonts w:ascii="Times New Roman" w:cs="Times New Roman" w:eastAsia="Times New Roman" w:hAnsi="Times New Roman"/>
          <w:b w:val="0"/>
          <w:color w:val="000000"/>
          <w:sz w:val="24"/>
          <w:szCs w:val="24"/>
        </w:rPr>
      </w:pPr>
      <w:r w:rsidDel="00000000" w:rsidR="00000000" w:rsidRPr="00000000">
        <w:rPr>
          <w:b w:val="1"/>
          <w:color w:val="000000"/>
          <w:sz w:val="24"/>
          <w:szCs w:val="24"/>
          <w:rtl w:val="0"/>
        </w:rPr>
        <w:t xml:space="preserve">Madde 12-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0"/>
          <w:color w:val="000000"/>
          <w:sz w:val="24"/>
          <w:szCs w:val="24"/>
          <w:rtl w:val="0"/>
        </w:rPr>
        <w:t xml:space="preserve">3308 sayılı Kanunun Geçici 12 inci </w:t>
      </w:r>
      <w:r w:rsidDel="00000000" w:rsidR="00000000" w:rsidRPr="00000000">
        <w:rPr>
          <w:rtl w:val="0"/>
        </w:rPr>
        <w:t xml:space="preserve">m</w:t>
      </w:r>
      <w:r w:rsidDel="00000000" w:rsidR="00000000" w:rsidRPr="00000000">
        <w:rPr>
          <w:rFonts w:ascii="Times New Roman" w:cs="Times New Roman" w:eastAsia="Times New Roman" w:hAnsi="Times New Roman"/>
          <w:b w:val="0"/>
          <w:color w:val="000000"/>
          <w:sz w:val="24"/>
          <w:szCs w:val="24"/>
          <w:rtl w:val="0"/>
        </w:rPr>
        <w:t xml:space="preserve">addesi gereğince öğrencilere aynı Kanunun 25 inci maddesinin birinci fıkrası kapsamında yapılacak ödemeler, asgari ücret net tutarının, yüzde otuzundan az olamaz. Mesleki eğitim görülen işletmede; yirmiden az personel çalışıyor ise ödenebilecek en az ücretin üçte ikisi,  yirmi ve üzerinde personel çalışıyor ise ödenebilecek en az ücretin üçte biri, 4477 sayılı Kanunun 53 üncü Maddesinin üçüncü fıkrasının (B) bendinin bir alt bendi için ayrılan tutardan </w:t>
      </w:r>
      <w:r w:rsidDel="00000000" w:rsidR="00000000" w:rsidRPr="00000000">
        <w:rPr>
          <w:rtl w:val="0"/>
        </w:rPr>
        <w:t xml:space="preserve">d</w:t>
      </w:r>
      <w:r w:rsidDel="00000000" w:rsidR="00000000" w:rsidRPr="00000000">
        <w:rPr>
          <w:rFonts w:ascii="Times New Roman" w:cs="Times New Roman" w:eastAsia="Times New Roman" w:hAnsi="Times New Roman"/>
          <w:b w:val="0"/>
          <w:color w:val="000000"/>
          <w:sz w:val="24"/>
          <w:szCs w:val="24"/>
          <w:rtl w:val="0"/>
        </w:rPr>
        <w:t xml:space="preserve">evlet katkısı olarak ödenir. Öğrencilere, sözleşme gereği ödenmesi gereken ücretin, </w:t>
      </w:r>
      <w:r w:rsidDel="00000000" w:rsidR="00000000" w:rsidRPr="00000000">
        <w:rPr>
          <w:rtl w:val="0"/>
        </w:rPr>
        <w:t xml:space="preserve">d</w:t>
      </w:r>
      <w:r w:rsidDel="00000000" w:rsidR="00000000" w:rsidRPr="00000000">
        <w:rPr>
          <w:rFonts w:ascii="Times New Roman" w:cs="Times New Roman" w:eastAsia="Times New Roman" w:hAnsi="Times New Roman"/>
          <w:b w:val="0"/>
          <w:color w:val="000000"/>
          <w:sz w:val="24"/>
          <w:szCs w:val="24"/>
          <w:rtl w:val="0"/>
        </w:rPr>
        <w:t xml:space="preserve">evlet katkısına ilişkin kısmı İŞKUR tarafından Fon kaynaklarından, kalan tutar ise işletme tarafından karşılanır. İşletme, her ayın onuncu gününe kadar öğrencinin banka hesabına öder. İşletmece ödenen devlet katkısı tutarı aynı ayın en geç yirmi beşinci gününe kadar işletmeye ödenir. Öğrenciye ödenecek ücret, her türlü vergiden muaftır. Asgari ücrette yıl içinde artış olması halinde, bu artışlar aynı oranda öğrencilerin ücretlerine yansıtılır.</w:t>
      </w:r>
    </w:p>
    <w:p w:rsidR="00000000" w:rsidDel="00000000" w:rsidP="00000000" w:rsidRDefault="00000000" w:rsidRPr="00000000" w14:paraId="0000000D">
      <w:pPr>
        <w:spacing w:line="240" w:lineRule="auto"/>
        <w:rPr/>
      </w:pPr>
      <w:r w:rsidDel="00000000" w:rsidR="00000000" w:rsidRPr="00000000">
        <w:rPr>
          <w:rtl w:val="0"/>
        </w:rPr>
        <w:t xml:space="preserve">Ancak, kamu </w:t>
      </w:r>
      <w:r w:rsidDel="00000000" w:rsidR="00000000" w:rsidRPr="00000000">
        <w:rPr>
          <w:b w:val="1"/>
          <w:rtl w:val="0"/>
        </w:rPr>
        <w:t xml:space="preserve">kurum ve kuruluşlarında</w:t>
      </w:r>
      <w:r w:rsidDel="00000000" w:rsidR="00000000" w:rsidRPr="00000000">
        <w:rPr>
          <w:rtl w:val="0"/>
        </w:rPr>
        <w:t xml:space="preserve"> uygulamalı eğitim gören öğrencilere yapılacak ödemeler 3308 sayılı mesleki eğitim kanununa göre işletmelerde mesleki eğitim gören öğrencilerin ücretlerinin bir kısmının işsizlik sigortası fonundan karşılanmasına ilişkin usul ve esaslar kapsamı dışındadır. Bu bağlamda ücret ödemesini yapan kamu kurum ve kuruluşları üniversitemizden herhangi bir hak talebinde bulunmayacaktır.</w:t>
      </w:r>
    </w:p>
    <w:p w:rsidR="00000000" w:rsidDel="00000000" w:rsidP="00000000" w:rsidRDefault="00000000" w:rsidRPr="00000000" w14:paraId="0000000E">
      <w:pPr>
        <w:spacing w:line="240" w:lineRule="auto"/>
        <w:rPr/>
      </w:pPr>
      <w:r w:rsidDel="00000000" w:rsidR="00000000" w:rsidRPr="00000000">
        <w:rPr>
          <w:b w:val="1"/>
          <w:rtl w:val="0"/>
        </w:rPr>
        <w:t xml:space="preserve">Madde 13- </w:t>
      </w:r>
      <w:r w:rsidDel="00000000" w:rsidR="00000000" w:rsidRPr="00000000">
        <w:rPr>
          <w:rtl w:val="0"/>
        </w:rPr>
        <w:t xml:space="preserve">Öğrenciler, bu sözleşmenin akdedilmesi ile işletmelerde uygulamalı eğitimlerine devam ettikleri sürece 5510 sayılı Sosyal Sigorta Kanunun 4 üncü Maddesinin birinci fıkrasının (a) bendine göre iş kazası ve meslek hastalığı sigortası, ilgili Fakülte/Yüksekokul/Meslek Yüksekokulu yönetimi tarafından yapılır.</w:t>
      </w:r>
    </w:p>
    <w:p w:rsidR="00000000" w:rsidDel="00000000" w:rsidP="00000000" w:rsidRDefault="00000000" w:rsidRPr="00000000" w14:paraId="0000000F">
      <w:pPr>
        <w:spacing w:line="240" w:lineRule="auto"/>
        <w:rPr/>
      </w:pPr>
      <w:r w:rsidDel="00000000" w:rsidR="00000000" w:rsidRPr="00000000">
        <w:rPr>
          <w:b w:val="1"/>
          <w:rtl w:val="0"/>
        </w:rPr>
        <w:t xml:space="preserve">Madde 14- </w:t>
      </w:r>
      <w:r w:rsidDel="00000000" w:rsidR="00000000" w:rsidRPr="00000000">
        <w:rPr>
          <w:rtl w:val="0"/>
        </w:rPr>
        <w:t xml:space="preserve">İlgili birim yönetimince</w:t>
      </w:r>
      <w:r w:rsidDel="00000000" w:rsidR="00000000" w:rsidRPr="00000000">
        <w:rPr>
          <w:b w:val="1"/>
          <w:rtl w:val="0"/>
        </w:rPr>
        <w:t xml:space="preserve"> </w:t>
      </w:r>
      <w:r w:rsidDel="00000000" w:rsidR="00000000" w:rsidRPr="00000000">
        <w:rPr>
          <w:rtl w:val="0"/>
        </w:rPr>
        <w:t xml:space="preserve">ödenmesi gereken sigorta primleri, Sosyal Güvenlik Kurumunun belirlediği oranlara göre, Sosyal Güvenlik Kurumuna ödenir veya bu kurumun hesabına aktarılır ve ödeme belgeleri saklanır.</w:t>
      </w:r>
    </w:p>
    <w:p w:rsidR="00000000" w:rsidDel="00000000" w:rsidP="00000000" w:rsidRDefault="00000000" w:rsidRPr="00000000" w14:paraId="00000010">
      <w:pPr>
        <w:spacing w:line="240" w:lineRule="auto"/>
        <w:rPr/>
      </w:pPr>
      <w:r w:rsidDel="00000000" w:rsidR="00000000" w:rsidRPr="00000000">
        <w:rPr>
          <w:b w:val="1"/>
          <w:rtl w:val="0"/>
        </w:rPr>
        <w:t xml:space="preserve">Madde 15-</w:t>
      </w:r>
      <w:r w:rsidDel="00000000" w:rsidR="00000000" w:rsidRPr="00000000">
        <w:rPr>
          <w:rtl w:val="0"/>
        </w:rPr>
        <w:t xml:space="preserve"> İşletmelerde iş yeri eğitimi gören öğrenciler hakkında bu sözleşmede yer almayan diğer hususlarda, ilgili mevzuat hükümlerine göre işlem yapılır.</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2537"/>
        <w:gridCol w:w="2589"/>
        <w:tblGridChange w:id="0">
          <w:tblGrid>
            <w:gridCol w:w="3936"/>
            <w:gridCol w:w="2537"/>
            <w:gridCol w:w="2589"/>
          </w:tblGrid>
        </w:tblGridChange>
      </w:tblGrid>
      <w:tr>
        <w:trPr>
          <w:cantSplit w:val="0"/>
          <w:tblHeader w:val="0"/>
        </w:trPr>
        <w:tc>
          <w:tcPr/>
          <w:p w:rsidR="00000000" w:rsidDel="00000000" w:rsidP="00000000" w:rsidRDefault="00000000" w:rsidRPr="00000000" w14:paraId="00000013">
            <w:pPr>
              <w:rPr>
                <w:b w:val="1"/>
              </w:rPr>
            </w:pPr>
            <w:r w:rsidDel="00000000" w:rsidR="00000000" w:rsidRPr="00000000">
              <w:rPr>
                <w:b w:val="1"/>
                <w:rtl w:val="0"/>
              </w:rPr>
              <w:t xml:space="preserve">Öğrencinin Adı Soyadı</w:t>
            </w:r>
          </w:p>
          <w:p w:rsidR="00000000" w:rsidDel="00000000" w:rsidP="00000000" w:rsidRDefault="00000000" w:rsidRPr="00000000" w14:paraId="00000014">
            <w:pPr>
              <w:rPr>
                <w:b w:val="1"/>
              </w:rPr>
            </w:pPr>
            <w:r w:rsidDel="00000000" w:rsidR="00000000" w:rsidRPr="00000000">
              <w:rPr>
                <w:b w:val="1"/>
                <w:rtl w:val="0"/>
              </w:rPr>
              <w:t xml:space="preserve">……………………………………….</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Öğrenci No: ………………………..</w:t>
            </w:r>
          </w:p>
        </w:tc>
        <w:tc>
          <w:tcPr/>
          <w:p w:rsidR="00000000" w:rsidDel="00000000" w:rsidP="00000000" w:rsidRDefault="00000000" w:rsidRPr="00000000" w14:paraId="00000017">
            <w:pPr>
              <w:rPr>
                <w:b w:val="1"/>
              </w:rPr>
            </w:pPr>
            <w:r w:rsidDel="00000000" w:rsidR="00000000" w:rsidRPr="00000000">
              <w:rPr>
                <w:b w:val="1"/>
                <w:rtl w:val="0"/>
              </w:rPr>
              <w:t xml:space="preserve">Tarih:</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tc>
        <w:tc>
          <w:tcPr/>
          <w:p w:rsidR="00000000" w:rsidDel="00000000" w:rsidP="00000000" w:rsidRDefault="00000000" w:rsidRPr="00000000" w14:paraId="0000001A">
            <w:pPr>
              <w:rPr>
                <w:b w:val="1"/>
              </w:rPr>
            </w:pPr>
            <w:r w:rsidDel="00000000" w:rsidR="00000000" w:rsidRPr="00000000">
              <w:rPr>
                <w:b w:val="1"/>
                <w:rtl w:val="0"/>
              </w:rPr>
              <w:t xml:space="preserve">Öğrenci imzası</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1F">
            <w:pPr>
              <w:rPr>
                <w:b w:val="1"/>
              </w:rPr>
            </w:pPr>
            <w:r w:rsidDel="00000000" w:rsidR="00000000" w:rsidRPr="00000000">
              <w:rPr>
                <w:b w:val="1"/>
                <w:rtl w:val="0"/>
              </w:rPr>
              <w:t xml:space="preserve">İş yeri Adı:</w:t>
            </w:r>
          </w:p>
          <w:p w:rsidR="00000000" w:rsidDel="00000000" w:rsidP="00000000" w:rsidRDefault="00000000" w:rsidRPr="00000000" w14:paraId="00000020">
            <w:pPr>
              <w:rPr>
                <w:b w:val="1"/>
              </w:rPr>
            </w:pPr>
            <w:bookmarkStart w:colFirst="0" w:colLast="0" w:name="_heading=h.30j0zll" w:id="0"/>
            <w:bookmarkEnd w:id="0"/>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İşveren / işveren vekili adı-soyadı:</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Görevi :</w:t>
            </w:r>
          </w:p>
          <w:p w:rsidR="00000000" w:rsidDel="00000000" w:rsidP="00000000" w:rsidRDefault="00000000" w:rsidRPr="00000000" w14:paraId="00000024">
            <w:pPr>
              <w:spacing w:line="240" w:lineRule="auto"/>
              <w:rPr>
                <w:b w:val="1"/>
              </w:rPr>
            </w:pPr>
            <w:r w:rsidDel="00000000" w:rsidR="00000000" w:rsidRPr="00000000">
              <w:rPr>
                <w:rtl w:val="0"/>
              </w:rPr>
            </w:r>
          </w:p>
        </w:tc>
        <w:tc>
          <w:tcPr/>
          <w:p w:rsidR="00000000" w:rsidDel="00000000" w:rsidP="00000000" w:rsidRDefault="00000000" w:rsidRPr="00000000" w14:paraId="00000025">
            <w:pPr>
              <w:rPr>
                <w:b w:val="1"/>
              </w:rPr>
            </w:pPr>
            <w:r w:rsidDel="00000000" w:rsidR="00000000" w:rsidRPr="00000000">
              <w:rPr>
                <w:b w:val="1"/>
                <w:rtl w:val="0"/>
              </w:rPr>
              <w:t xml:space="preserve">Tarih:</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tc>
        <w:tc>
          <w:tcPr/>
          <w:p w:rsidR="00000000" w:rsidDel="00000000" w:rsidP="00000000" w:rsidRDefault="00000000" w:rsidRPr="00000000" w14:paraId="0000002C">
            <w:pPr>
              <w:spacing w:line="240" w:lineRule="auto"/>
              <w:rPr>
                <w:b w:val="1"/>
              </w:rPr>
            </w:pPr>
            <w:r w:rsidDel="00000000" w:rsidR="00000000" w:rsidRPr="00000000">
              <w:rPr>
                <w:b w:val="1"/>
                <w:rtl w:val="0"/>
              </w:rPr>
              <w:t xml:space="preserve">İş yeri Kaşe/ imza</w:t>
            </w:r>
          </w:p>
        </w:tc>
      </w:tr>
      <w:tr>
        <w:trPr>
          <w:cantSplit w:val="0"/>
          <w:tblHeader w:val="0"/>
        </w:trPr>
        <w:tc>
          <w:tcPr/>
          <w:p w:rsidR="00000000" w:rsidDel="00000000" w:rsidP="00000000" w:rsidRDefault="00000000" w:rsidRPr="00000000" w14:paraId="0000002D">
            <w:pPr>
              <w:rPr>
                <w:b w:val="1"/>
              </w:rPr>
            </w:pPr>
            <w:r w:rsidDel="00000000" w:rsidR="00000000" w:rsidRPr="00000000">
              <w:rPr>
                <w:b w:val="1"/>
                <w:rtl w:val="0"/>
              </w:rPr>
              <w:t xml:space="preserve">……………………………………….. Fakülte / Yüksekokul / Meslek Yüksekokulu</w:t>
            </w:r>
          </w:p>
        </w:tc>
        <w:tc>
          <w:tcPr/>
          <w:p w:rsidR="00000000" w:rsidDel="00000000" w:rsidP="00000000" w:rsidRDefault="00000000" w:rsidRPr="00000000" w14:paraId="0000002E">
            <w:pPr>
              <w:rPr>
                <w:b w:val="1"/>
              </w:rPr>
            </w:pPr>
            <w:r w:rsidDel="00000000" w:rsidR="00000000" w:rsidRPr="00000000">
              <w:rPr>
                <w:b w:val="1"/>
                <w:rtl w:val="0"/>
              </w:rPr>
              <w:t xml:space="preserve">Tarih:</w:t>
            </w:r>
          </w:p>
        </w:tc>
        <w:tc>
          <w:tcPr/>
          <w:p w:rsidR="00000000" w:rsidDel="00000000" w:rsidP="00000000" w:rsidRDefault="00000000" w:rsidRPr="00000000" w14:paraId="0000002F">
            <w:pPr>
              <w:rPr>
                <w:b w:val="1"/>
              </w:rPr>
            </w:pPr>
            <w:r w:rsidDel="00000000" w:rsidR="00000000" w:rsidRPr="00000000">
              <w:rPr>
                <w:b w:val="1"/>
                <w:rtl w:val="0"/>
              </w:rPr>
              <w:t xml:space="preserve">Dekan / Müdür </w:t>
            </w:r>
          </w:p>
          <w:p w:rsidR="00000000" w:rsidDel="00000000" w:rsidP="00000000" w:rsidRDefault="00000000" w:rsidRPr="00000000" w14:paraId="00000030">
            <w:pPr>
              <w:rPr>
                <w:b w:val="1"/>
              </w:rPr>
            </w:pPr>
            <w:r w:rsidDel="00000000" w:rsidR="00000000" w:rsidRPr="00000000">
              <w:rPr>
                <w:b w:val="1"/>
                <w:rtl w:val="0"/>
              </w:rPr>
              <w:t xml:space="preserve">İmza- Mühür/ Kaşe</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tc>
      </w:tr>
    </w:tbl>
    <w:p w:rsidR="00000000" w:rsidDel="00000000" w:rsidP="00000000" w:rsidRDefault="00000000" w:rsidRPr="00000000" w14:paraId="00000036">
      <w:pPr>
        <w:spacing w:line="240" w:lineRule="auto"/>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28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pos="4536"/>
        <w:tab w:val="right" w:pos="9072"/>
      </w:tabs>
      <w:spacing w:line="240" w:lineRule="auto"/>
      <w:jc w:val="left"/>
      <w:rPr>
        <w:rFonts w:ascii="Calibri" w:cs="Calibri" w:eastAsia="Calibri" w:hAnsi="Calibri"/>
        <w:color w:val="00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pos="4536"/>
        <w:tab w:val="right" w:pos="9072"/>
      </w:tabs>
      <w:spacing w:line="240" w:lineRule="auto"/>
      <w:jc w:val="left"/>
      <w:rPr>
        <w:rFonts w:ascii="Calibri" w:cs="Calibri" w:eastAsia="Calibri" w:hAnsi="Calibri"/>
        <w:color w:val="000000"/>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76" w:lineRule="auto"/>
      <w:jc w:val="left"/>
      <w:rPr>
        <w:rFonts w:ascii="Calibri" w:cs="Calibri" w:eastAsia="Calibri" w:hAnsi="Calibri"/>
        <w:color w:val="000000"/>
        <w:sz w:val="22"/>
        <w:szCs w:val="22"/>
      </w:rPr>
    </w:pPr>
    <w:r w:rsidDel="00000000" w:rsidR="00000000" w:rsidRPr="00000000">
      <w:rPr>
        <w:rtl w:val="0"/>
      </w:rPr>
    </w:r>
  </w:p>
  <w:tbl>
    <w:tblPr>
      <w:tblStyle w:val="Table3"/>
      <w:tblW w:w="10296.0" w:type="dxa"/>
      <w:jc w:val="left"/>
      <w:tblInd w:w="-459.0" w:type="dxa"/>
      <w:tblLayout w:type="fixed"/>
      <w:tblLook w:val="0400"/>
    </w:tblPr>
    <w:tblGrid>
      <w:gridCol w:w="3945"/>
      <w:gridCol w:w="2972"/>
      <w:gridCol w:w="3379"/>
      <w:tblGridChange w:id="0">
        <w:tblGrid>
          <w:gridCol w:w="3945"/>
          <w:gridCol w:w="2972"/>
          <w:gridCol w:w="3379"/>
        </w:tblGrid>
      </w:tblGridChange>
    </w:tblGrid>
    <w:tr>
      <w:trPr>
        <w:cantSplit w:val="0"/>
        <w:trHeight w:val="109" w:hRule="atLeast"/>
        <w:tblHeader w:val="0"/>
      </w:trPr>
      <w:tc>
        <w:tcPr>
          <w:shd w:fill="auto" w:val="clear"/>
        </w:tcPr>
        <w:p w:rsidR="00000000" w:rsidDel="00000000" w:rsidP="00000000" w:rsidRDefault="00000000" w:rsidRPr="00000000" w14:paraId="00000043">
          <w:pPr>
            <w:tabs>
              <w:tab w:val="center" w:pos="4536"/>
              <w:tab w:val="right" w:pos="9072"/>
            </w:tabs>
            <w:spacing w:line="276" w:lineRule="auto"/>
            <w:rPr>
              <w:sz w:val="18"/>
              <w:szCs w:val="18"/>
            </w:rPr>
          </w:pPr>
          <w:r w:rsidDel="00000000" w:rsidR="00000000" w:rsidRPr="00000000">
            <w:rPr>
              <w:sz w:val="18"/>
              <w:szCs w:val="18"/>
              <w:rtl w:val="0"/>
            </w:rPr>
            <w:t xml:space="preserve">İlk Yayın Tarihi: 23.02.2022</w:t>
          </w:r>
        </w:p>
      </w:tc>
      <w:tc>
        <w:tcPr>
          <w:shd w:fill="auto" w:val="clear"/>
        </w:tcPr>
        <w:p w:rsidR="00000000" w:rsidDel="00000000" w:rsidP="00000000" w:rsidRDefault="00000000" w:rsidRPr="00000000" w14:paraId="00000044">
          <w:pPr>
            <w:tabs>
              <w:tab w:val="center" w:pos="4536"/>
              <w:tab w:val="right" w:pos="9072"/>
            </w:tabs>
            <w:spacing w:line="276" w:lineRule="auto"/>
            <w:jc w:val="center"/>
            <w:rPr>
              <w:sz w:val="18"/>
              <w:szCs w:val="18"/>
            </w:rPr>
          </w:pPr>
          <w:r w:rsidDel="00000000" w:rsidR="00000000" w:rsidRPr="00000000">
            <w:rPr>
              <w:sz w:val="18"/>
              <w:szCs w:val="18"/>
              <w:rtl w:val="0"/>
            </w:rPr>
            <w:t xml:space="preserve">Revizyon No/Tarih: 0</w:t>
          </w:r>
        </w:p>
      </w:tc>
      <w:tc>
        <w:tcPr>
          <w:shd w:fill="auto" w:val="clear"/>
        </w:tcPr>
        <w:p w:rsidR="00000000" w:rsidDel="00000000" w:rsidP="00000000" w:rsidRDefault="00000000" w:rsidRPr="00000000" w14:paraId="00000045">
          <w:pPr>
            <w:tabs>
              <w:tab w:val="center" w:pos="4536"/>
              <w:tab w:val="right" w:pos="9072"/>
            </w:tabs>
            <w:spacing w:line="276" w:lineRule="auto"/>
            <w:jc w:val="right"/>
            <w:rPr>
              <w:sz w:val="18"/>
              <w:szCs w:val="18"/>
            </w:rPr>
          </w:pPr>
          <w:r w:rsidDel="00000000" w:rsidR="00000000" w:rsidRPr="00000000">
            <w:rPr>
              <w:sz w:val="18"/>
              <w:szCs w:val="18"/>
              <w:rtl w:val="0"/>
            </w:rPr>
            <w:t xml:space="preserve">Sayfa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 </w:t>
          </w: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r>
        </w:p>
      </w:tc>
    </w:tr>
    <w:tr>
      <w:trPr>
        <w:cantSplit w:val="0"/>
        <w:trHeight w:val="414" w:hRule="atLeast"/>
        <w:tblHeader w:val="0"/>
      </w:trPr>
      <w:tc>
        <w:tcPr>
          <w:gridSpan w:val="3"/>
          <w:shd w:fill="auto" w:val="clear"/>
        </w:tcPr>
        <w:p w:rsidR="00000000" w:rsidDel="00000000" w:rsidP="00000000" w:rsidRDefault="00000000" w:rsidRPr="00000000" w14:paraId="00000046">
          <w:pPr>
            <w:tabs>
              <w:tab w:val="center" w:pos="4536"/>
              <w:tab w:val="right" w:pos="9072"/>
            </w:tabs>
            <w:spacing w:line="276" w:lineRule="auto"/>
            <w:rPr>
              <w:sz w:val="18"/>
              <w:szCs w:val="18"/>
            </w:rPr>
          </w:pPr>
          <w:r w:rsidDel="00000000" w:rsidR="00000000" w:rsidRPr="00000000">
            <w:rPr>
              <w:sz w:val="18"/>
              <w:szCs w:val="18"/>
              <w:rtl w:val="0"/>
            </w:rPr>
            <w:t xml:space="preserve">Web sitemizde yayınlanan son </w:t>
          </w:r>
        </w:p>
        <w:p w:rsidR="00000000" w:rsidDel="00000000" w:rsidP="00000000" w:rsidRDefault="00000000" w:rsidRPr="00000000" w14:paraId="00000047">
          <w:pPr>
            <w:tabs>
              <w:tab w:val="center" w:pos="4536"/>
              <w:tab w:val="right" w:pos="9072"/>
            </w:tabs>
            <w:spacing w:line="276" w:lineRule="auto"/>
            <w:rPr>
              <w:sz w:val="18"/>
              <w:szCs w:val="18"/>
            </w:rPr>
          </w:pPr>
          <w:r w:rsidDel="00000000" w:rsidR="00000000" w:rsidRPr="00000000">
            <w:rPr>
              <w:sz w:val="18"/>
              <w:szCs w:val="18"/>
              <w:rtl w:val="0"/>
            </w:rPr>
            <w:t xml:space="preserve">versiyonu kontrollü dokümandır.</w:t>
          </w:r>
        </w:p>
      </w:tc>
    </w:tr>
  </w:tbl>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pos="4536"/>
        <w:tab w:val="right" w:pos="9072"/>
      </w:tabs>
      <w:spacing w:line="240" w:lineRule="auto"/>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536"/>
        <w:tab w:val="right" w:pos="9072"/>
      </w:tabs>
      <w:spacing w:line="240" w:lineRule="auto"/>
      <w:jc w:val="left"/>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76" w:lineRule="auto"/>
      <w:jc w:val="left"/>
      <w:rPr/>
    </w:pPr>
    <w:r w:rsidDel="00000000" w:rsidR="00000000" w:rsidRPr="00000000">
      <w:rPr>
        <w:rtl w:val="0"/>
      </w:rPr>
    </w:r>
  </w:p>
  <w:tbl>
    <w:tblPr>
      <w:tblStyle w:val="Table2"/>
      <w:tblW w:w="9642.0" w:type="dxa"/>
      <w:jc w:val="left"/>
      <w:tblInd w:w="108.0" w:type="dxa"/>
      <w:tblBorders>
        <w:top w:color="000000" w:space="0" w:sz="4" w:val="single"/>
        <w:left w:color="000000" w:space="0" w:sz="4" w:val="single"/>
        <w:bottom w:color="000000" w:space="0" w:sz="4" w:val="single"/>
        <w:right w:color="000000" w:space="0" w:sz="4" w:val="single"/>
      </w:tblBorders>
      <w:tblLayout w:type="fixed"/>
      <w:tblLook w:val="0000"/>
    </w:tblPr>
    <w:tblGrid>
      <w:gridCol w:w="1133"/>
      <w:gridCol w:w="6547"/>
      <w:gridCol w:w="1962"/>
      <w:tblGridChange w:id="0">
        <w:tblGrid>
          <w:gridCol w:w="1133"/>
          <w:gridCol w:w="6547"/>
          <w:gridCol w:w="1962"/>
        </w:tblGrid>
      </w:tblGridChange>
    </w:tblGrid>
    <w:tr>
      <w:trPr>
        <w:cantSplit w:val="0"/>
        <w:trHeight w:val="1126" w:hRule="atLeast"/>
        <w:tblHeader w:val="0"/>
      </w:trPr>
      <w:tc>
        <w:tcPr>
          <w:vAlign w:val="center"/>
        </w:tcPr>
        <w:p w:rsidR="00000000" w:rsidDel="00000000" w:rsidP="00000000" w:rsidRDefault="00000000" w:rsidRPr="00000000" w14:paraId="00000039">
          <w:pPr>
            <w:jc w:val="center"/>
            <w:rPr>
              <w:b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-27938</wp:posOffset>
                </wp:positionH>
                <wp:positionV relativeFrom="paragraph">
                  <wp:posOffset>0</wp:posOffset>
                </wp:positionV>
                <wp:extent cx="627380" cy="556895"/>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7380" cy="556895"/>
                        </a:xfrm>
                        <a:prstGeom prst="rect"/>
                        <a:ln/>
                      </pic:spPr>
                    </pic:pic>
                  </a:graphicData>
                </a:graphic>
              </wp:anchor>
            </w:drawing>
          </w:r>
        </w:p>
      </w:tc>
      <w:tc>
        <w:tcPr>
          <w:vAlign w:val="center"/>
        </w:tcPr>
        <w:p w:rsidR="00000000" w:rsidDel="00000000" w:rsidP="00000000" w:rsidRDefault="00000000" w:rsidRPr="00000000" w14:paraId="0000003A">
          <w:pPr>
            <w:spacing w:line="240" w:lineRule="auto"/>
            <w:jc w:val="center"/>
            <w:rPr>
              <w:b w:val="1"/>
              <w:sz w:val="28"/>
              <w:szCs w:val="28"/>
            </w:rPr>
          </w:pPr>
          <w:r w:rsidDel="00000000" w:rsidR="00000000" w:rsidRPr="00000000">
            <w:rPr>
              <w:b w:val="1"/>
              <w:sz w:val="28"/>
              <w:szCs w:val="28"/>
              <w:rtl w:val="0"/>
            </w:rPr>
            <w:t xml:space="preserve">BURSA ULUDAĞ ÜNİVERSİTESİ</w:t>
          </w:r>
        </w:p>
        <w:p w:rsidR="00000000" w:rsidDel="00000000" w:rsidP="00000000" w:rsidRDefault="00000000" w:rsidRPr="00000000" w14:paraId="0000003B">
          <w:pPr>
            <w:spacing w:line="240" w:lineRule="auto"/>
            <w:jc w:val="center"/>
            <w:rPr>
              <w:b w:val="1"/>
            </w:rPr>
          </w:pPr>
          <w:bookmarkStart w:colFirst="0" w:colLast="0" w:name="_heading=h.gjdgxs" w:id="1"/>
          <w:bookmarkEnd w:id="1"/>
          <w:r w:rsidDel="00000000" w:rsidR="00000000" w:rsidRPr="00000000">
            <w:rPr>
              <w:b w:val="1"/>
              <w:sz w:val="28"/>
              <w:szCs w:val="28"/>
              <w:rtl w:val="0"/>
            </w:rPr>
            <w:t xml:space="preserve">UYGULAMALI EĞİTİM SÖZLEŞMESİ </w:t>
          </w:r>
          <w:r w:rsidDel="00000000" w:rsidR="00000000" w:rsidRPr="00000000">
            <w:rPr>
              <w:rtl w:val="0"/>
            </w:rPr>
          </w:r>
        </w:p>
      </w:tc>
      <w:tc>
        <w:tcPr>
          <w:vAlign w:val="center"/>
        </w:tcPr>
        <w:p w:rsidR="00000000" w:rsidDel="00000000" w:rsidP="00000000" w:rsidRDefault="00000000" w:rsidRPr="00000000" w14:paraId="0000003C">
          <w:pPr>
            <w:jc w:val="right"/>
            <w:rPr>
              <w:b w:val="1"/>
            </w:rPr>
          </w:pPr>
          <w:r w:rsidDel="00000000" w:rsidR="00000000" w:rsidRPr="00000000">
            <w:rPr>
              <w:b w:val="1"/>
              <w:color w:val="ff0000"/>
              <w:rtl w:val="0"/>
            </w:rPr>
            <w:t xml:space="preserve">FR 1.2.3_02</w:t>
          </w:r>
          <w:r w:rsidDel="00000000" w:rsidR="00000000" w:rsidRPr="00000000">
            <w:rPr>
              <w:rtl w:val="0"/>
            </w:rPr>
          </w:r>
        </w:p>
      </w:tc>
    </w:tr>
  </w:tbl>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pos="4536"/>
        <w:tab w:val="right" w:pos="9072"/>
      </w:tabs>
      <w:spacing w:line="240" w:lineRule="auto"/>
      <w:jc w:val="left"/>
      <w:rPr>
        <w:rFonts w:ascii="Calibri" w:cs="Calibri" w:eastAsia="Calibri" w:hAnsi="Calibri"/>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pos="4536"/>
        <w:tab w:val="right" w:pos="9072"/>
      </w:tabs>
      <w:spacing w:line="240" w:lineRule="auto"/>
      <w:jc w:val="left"/>
      <w:rPr>
        <w:rFonts w:ascii="Calibri" w:cs="Calibri" w:eastAsia="Calibri" w:hAnsi="Calibri"/>
        <w:color w:val="000000"/>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pos="4536"/>
        <w:tab w:val="right" w:pos="9072"/>
      </w:tabs>
      <w:spacing w:line="240" w:lineRule="auto"/>
      <w:jc w:val="left"/>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tr-TR"/>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40" w:lineRule="auto"/>
      <w:jc w:val="left"/>
    </w:pPr>
    <w:rPr>
      <w:b w:val="1"/>
    </w:rPr>
  </w:style>
  <w:style w:type="paragraph" w:styleId="Heading2">
    <w:name w:val="heading 2"/>
    <w:basedOn w:val="Normal"/>
    <w:next w:val="Normal"/>
    <w:pPr>
      <w:keepNext w:val="1"/>
      <w:keepLines w:val="1"/>
      <w:spacing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A41AA0"/>
  </w:style>
  <w:style w:type="paragraph" w:styleId="Balk1">
    <w:name w:val="heading 1"/>
    <w:basedOn w:val="Normal"/>
    <w:next w:val="Normal"/>
    <w:link w:val="Balk1Char"/>
    <w:qFormat w:val="1"/>
    <w:rsid w:val="002006D1"/>
    <w:pPr>
      <w:keepNext w:val="1"/>
      <w:spacing w:line="240" w:lineRule="auto"/>
      <w:jc w:val="left"/>
      <w:outlineLvl w:val="0"/>
    </w:pPr>
    <w:rPr>
      <w:b w:val="1"/>
      <w:bCs w:val="1"/>
    </w:rPr>
  </w:style>
  <w:style w:type="paragraph" w:styleId="Balk2">
    <w:name w:val="heading 2"/>
    <w:basedOn w:val="Normal"/>
    <w:next w:val="Normal"/>
    <w:link w:val="Balk2Char"/>
    <w:uiPriority w:val="9"/>
    <w:semiHidden w:val="1"/>
    <w:unhideWhenUsed w:val="1"/>
    <w:qFormat w:val="1"/>
    <w:rsid w:val="00D0557E"/>
    <w:pPr>
      <w:keepNext w:val="1"/>
      <w:keepLines w:val="1"/>
      <w:spacing w:before="200"/>
      <w:outlineLvl w:val="1"/>
    </w:pPr>
    <w:rPr>
      <w:rFonts w:asciiTheme="majorHAnsi" w:cstheme="majorBidi" w:eastAsiaTheme="majorEastAsia" w:hAnsiTheme="majorHAnsi"/>
      <w:b w:val="1"/>
      <w:bCs w:val="1"/>
      <w:color w:val="5b9bd5" w:themeColor="accent1"/>
      <w:sz w:val="26"/>
      <w:szCs w:val="26"/>
    </w:rPr>
  </w:style>
  <w:style w:type="paragraph" w:styleId="Balk3">
    <w:name w:val="heading 3"/>
    <w:basedOn w:val="Normal"/>
    <w:next w:val="Normal"/>
    <w:pPr>
      <w:keepNext w:val="1"/>
      <w:keepLines w:val="1"/>
      <w:spacing w:after="80" w:before="280"/>
      <w:outlineLvl w:val="2"/>
    </w:pPr>
    <w:rPr>
      <w:b w:val="1"/>
      <w:sz w:val="28"/>
      <w:szCs w:val="28"/>
    </w:rPr>
  </w:style>
  <w:style w:type="paragraph" w:styleId="Balk4">
    <w:name w:val="heading 4"/>
    <w:basedOn w:val="Normal"/>
    <w:next w:val="Normal"/>
    <w:pPr>
      <w:keepNext w:val="1"/>
      <w:keepLines w:val="1"/>
      <w:spacing w:after="40" w:before="240"/>
      <w:outlineLvl w:val="3"/>
    </w:pPr>
    <w:rPr>
      <w:b w:val="1"/>
    </w:rPr>
  </w:style>
  <w:style w:type="paragraph" w:styleId="Balk5">
    <w:name w:val="heading 5"/>
    <w:basedOn w:val="Normal"/>
    <w:next w:val="Normal"/>
    <w:pPr>
      <w:keepNext w:val="1"/>
      <w:keepLines w:val="1"/>
      <w:spacing w:after="40" w:before="220"/>
      <w:outlineLvl w:val="4"/>
    </w:pPr>
    <w:rPr>
      <w:b w:val="1"/>
      <w:sz w:val="22"/>
      <w:szCs w:val="22"/>
    </w:rPr>
  </w:style>
  <w:style w:type="paragraph" w:styleId="Balk6">
    <w:name w:val="heading 6"/>
    <w:basedOn w:val="Normal"/>
    <w:next w:val="Normal"/>
    <w:pPr>
      <w:keepNext w:val="1"/>
      <w:keepLines w:val="1"/>
      <w:spacing w:after="40" w:before="200"/>
      <w:outlineLvl w:val="5"/>
    </w:pPr>
    <w:rPr>
      <w:b w:val="1"/>
      <w:sz w:val="20"/>
      <w:szCs w:val="20"/>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next w:val="Normal"/>
    <w:pPr>
      <w:keepNext w:val="1"/>
      <w:keepLines w:val="1"/>
      <w:spacing w:after="120" w:before="480"/>
    </w:pPr>
    <w:rPr>
      <w:b w:val="1"/>
      <w:sz w:val="72"/>
      <w:szCs w:val="72"/>
    </w:rPr>
  </w:style>
  <w:style w:type="paragraph" w:styleId="stBilgi">
    <w:name w:val="header"/>
    <w:basedOn w:val="Normal"/>
    <w:link w:val="stBilgiChar"/>
    <w:uiPriority w:val="99"/>
    <w:unhideWhenUsed w:val="1"/>
    <w:rsid w:val="00A41AA0"/>
    <w:pPr>
      <w:tabs>
        <w:tab w:val="center" w:pos="4536"/>
        <w:tab w:val="right" w:pos="9072"/>
      </w:tabs>
      <w:spacing w:line="240" w:lineRule="auto"/>
      <w:jc w:val="left"/>
    </w:pPr>
    <w:rPr>
      <w:rFonts w:asciiTheme="minorHAnsi" w:cstheme="minorBidi" w:eastAsiaTheme="minorHAnsi" w:hAnsiTheme="minorHAnsi"/>
      <w:sz w:val="22"/>
      <w:szCs w:val="22"/>
      <w:lang w:eastAsia="en-US"/>
    </w:rPr>
  </w:style>
  <w:style w:type="character" w:styleId="stBilgiChar" w:customStyle="1">
    <w:name w:val="Üst Bilgi Char"/>
    <w:basedOn w:val="VarsaylanParagrafYazTipi"/>
    <w:link w:val="stBilgi"/>
    <w:uiPriority w:val="99"/>
    <w:rsid w:val="00A41AA0"/>
  </w:style>
  <w:style w:type="paragraph" w:styleId="AltBilgi">
    <w:name w:val="footer"/>
    <w:basedOn w:val="Normal"/>
    <w:link w:val="AltBilgiChar"/>
    <w:unhideWhenUsed w:val="1"/>
    <w:rsid w:val="00A41AA0"/>
    <w:pPr>
      <w:tabs>
        <w:tab w:val="center" w:pos="4536"/>
        <w:tab w:val="right" w:pos="9072"/>
      </w:tabs>
      <w:spacing w:line="240" w:lineRule="auto"/>
      <w:jc w:val="left"/>
    </w:pPr>
    <w:rPr>
      <w:rFonts w:asciiTheme="minorHAnsi" w:cstheme="minorBidi" w:eastAsiaTheme="minorHAnsi" w:hAnsiTheme="minorHAnsi"/>
      <w:sz w:val="22"/>
      <w:szCs w:val="22"/>
      <w:lang w:eastAsia="en-US"/>
    </w:rPr>
  </w:style>
  <w:style w:type="character" w:styleId="AltBilgiChar" w:customStyle="1">
    <w:name w:val="Alt Bilgi Char"/>
    <w:basedOn w:val="VarsaylanParagrafYazTipi"/>
    <w:link w:val="AltBilgi"/>
    <w:rsid w:val="00A41AA0"/>
  </w:style>
  <w:style w:type="table" w:styleId="TableNormal0" w:customStyle="1">
    <w:name w:val="Table Normal"/>
    <w:uiPriority w:val="2"/>
    <w:semiHidden w:val="1"/>
    <w:unhideWhenUsed w:val="1"/>
    <w:qFormat w:val="1"/>
    <w:rsid w:val="00EC0E82"/>
    <w:pPr>
      <w:widowControl w:val="0"/>
      <w:autoSpaceDE w:val="0"/>
      <w:autoSpaceDN w:val="0"/>
      <w:spacing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EC0E82"/>
    <w:pPr>
      <w:widowControl w:val="0"/>
      <w:autoSpaceDE w:val="0"/>
      <w:autoSpaceDN w:val="0"/>
      <w:spacing w:line="240" w:lineRule="auto"/>
      <w:jc w:val="left"/>
    </w:pPr>
    <w:rPr>
      <w:sz w:val="22"/>
      <w:szCs w:val="22"/>
      <w:lang w:bidi="tr-TR"/>
    </w:rPr>
  </w:style>
  <w:style w:type="paragraph" w:styleId="BalonMetni">
    <w:name w:val="Balloon Text"/>
    <w:basedOn w:val="Normal"/>
    <w:link w:val="BalonMetniChar"/>
    <w:uiPriority w:val="99"/>
    <w:semiHidden w:val="1"/>
    <w:unhideWhenUsed w:val="1"/>
    <w:rsid w:val="00FA4C34"/>
    <w:pPr>
      <w:spacing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FA4C34"/>
    <w:rPr>
      <w:rFonts w:ascii="Tahoma" w:cs="Tahoma" w:eastAsia="Times New Roman" w:hAnsi="Tahoma"/>
      <w:sz w:val="16"/>
      <w:szCs w:val="16"/>
      <w:lang w:eastAsia="tr-TR"/>
    </w:rPr>
  </w:style>
  <w:style w:type="character" w:styleId="Balk1Char" w:customStyle="1">
    <w:name w:val="Başlık 1 Char"/>
    <w:basedOn w:val="VarsaylanParagrafYazTipi"/>
    <w:link w:val="Balk1"/>
    <w:rsid w:val="002006D1"/>
    <w:rPr>
      <w:rFonts w:ascii="Times New Roman" w:cs="Times New Roman" w:eastAsia="Times New Roman" w:hAnsi="Times New Roman"/>
      <w:b w:val="1"/>
      <w:bCs w:val="1"/>
      <w:sz w:val="24"/>
      <w:szCs w:val="24"/>
      <w:lang w:eastAsia="tr-TR"/>
    </w:rPr>
  </w:style>
  <w:style w:type="paragraph" w:styleId="GvdeMetni">
    <w:name w:val="Body Text"/>
    <w:basedOn w:val="Normal"/>
    <w:link w:val="GvdeMetniChar"/>
    <w:rsid w:val="002006D1"/>
    <w:pPr>
      <w:spacing w:line="240" w:lineRule="auto"/>
      <w:jc w:val="left"/>
    </w:pPr>
    <w:rPr>
      <w:sz w:val="20"/>
    </w:rPr>
  </w:style>
  <w:style w:type="character" w:styleId="GvdeMetniChar" w:customStyle="1">
    <w:name w:val="Gövde Metni Char"/>
    <w:basedOn w:val="VarsaylanParagrafYazTipi"/>
    <w:link w:val="GvdeMetni"/>
    <w:rsid w:val="002006D1"/>
    <w:rPr>
      <w:rFonts w:ascii="Times New Roman" w:cs="Times New Roman" w:eastAsia="Times New Roman" w:hAnsi="Times New Roman"/>
      <w:sz w:val="20"/>
      <w:szCs w:val="24"/>
      <w:lang w:eastAsia="tr-TR"/>
    </w:rPr>
  </w:style>
  <w:style w:type="character" w:styleId="Balk2Char" w:customStyle="1">
    <w:name w:val="Başlık 2 Char"/>
    <w:basedOn w:val="VarsaylanParagrafYazTipi"/>
    <w:link w:val="Balk2"/>
    <w:uiPriority w:val="9"/>
    <w:semiHidden w:val="1"/>
    <w:rsid w:val="00D0557E"/>
    <w:rPr>
      <w:rFonts w:asciiTheme="majorHAnsi" w:cstheme="majorBidi" w:eastAsiaTheme="majorEastAsia" w:hAnsiTheme="majorHAnsi"/>
      <w:b w:val="1"/>
      <w:bCs w:val="1"/>
      <w:color w:val="5b9bd5" w:themeColor="accent1"/>
      <w:sz w:val="26"/>
      <w:szCs w:val="26"/>
      <w:lang w:eastAsia="tr-TR"/>
    </w:rPr>
  </w:style>
  <w:style w:type="paragraph" w:styleId="ListeParagraf">
    <w:name w:val="List Paragraph"/>
    <w:basedOn w:val="Normal"/>
    <w:uiPriority w:val="99"/>
    <w:qFormat w:val="1"/>
    <w:rsid w:val="00E15079"/>
    <w:pPr>
      <w:spacing w:after="200" w:line="276" w:lineRule="auto"/>
      <w:ind w:left="720"/>
      <w:contextualSpacing w:val="1"/>
      <w:jc w:val="left"/>
    </w:pPr>
    <w:rPr>
      <w:rFonts w:ascii="Calibri" w:eastAsia="Calibri" w:hAnsi="Calibri"/>
      <w:sz w:val="22"/>
      <w:szCs w:val="22"/>
      <w:lang w:eastAsia="en-US"/>
    </w:rPr>
  </w:style>
  <w:style w:type="table" w:styleId="TabloKlavuzu">
    <w:name w:val="Table Grid"/>
    <w:basedOn w:val="NormalTablo"/>
    <w:uiPriority w:val="59"/>
    <w:rsid w:val="00EE39BA"/>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ralkYok">
    <w:name w:val="No Spacing"/>
    <w:uiPriority w:val="1"/>
    <w:qFormat w:val="1"/>
    <w:rsid w:val="00032199"/>
    <w:pPr>
      <w:spacing w:line="240" w:lineRule="auto"/>
    </w:pPr>
  </w:style>
  <w:style w:type="character" w:styleId="Gvdemetni2" w:customStyle="1">
    <w:name w:val="Gövde metni (2)_"/>
    <w:basedOn w:val="VarsaylanParagrafYazTipi"/>
    <w:link w:val="Gvdemetni20"/>
    <w:locked w:val="1"/>
    <w:rsid w:val="00032199"/>
    <w:rPr>
      <w:rFonts w:ascii="Times New Roman" w:cs="Times New Roman" w:eastAsia="Times New Roman" w:hAnsi="Times New Roman"/>
      <w:sz w:val="17"/>
      <w:szCs w:val="17"/>
      <w:shd w:color="auto" w:fill="ffffff" w:val="clear"/>
    </w:rPr>
  </w:style>
  <w:style w:type="paragraph" w:styleId="Gvdemetni20" w:customStyle="1">
    <w:name w:val="Gövde metni (2)"/>
    <w:basedOn w:val="Normal"/>
    <w:link w:val="Gvdemetni2"/>
    <w:locked w:val="1"/>
    <w:rsid w:val="00032199"/>
    <w:pPr>
      <w:shd w:color="auto" w:fill="ffffff" w:val="clear"/>
      <w:spacing w:line="0" w:lineRule="atLeast"/>
      <w:jc w:val="left"/>
    </w:pPr>
    <w:rPr>
      <w:sz w:val="17"/>
      <w:szCs w:val="17"/>
      <w:lang w:eastAsia="en-US"/>
    </w:rPr>
  </w:style>
  <w:style w:type="paragraph" w:styleId="NormalWeb">
    <w:name w:val="Normal (Web)"/>
    <w:basedOn w:val="Normal"/>
    <w:uiPriority w:val="99"/>
    <w:semiHidden w:val="1"/>
    <w:unhideWhenUsed w:val="1"/>
    <w:rsid w:val="0035171A"/>
    <w:pPr>
      <w:spacing w:after="100" w:afterAutospacing="1" w:before="100" w:beforeAutospacing="1" w:line="240" w:lineRule="auto"/>
      <w:jc w:val="left"/>
    </w:pPr>
  </w:style>
  <w:style w:type="paragraph" w:styleId="Altyaz">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line="240" w:lineRule="auto"/>
    </w:pPr>
    <w:tblPr>
      <w:tblStyleRowBandSize w:val="1"/>
      <w:tblStyleColBandSize w:val="1"/>
      <w:tblCellMar>
        <w:top w:w="0.0" w:type="dxa"/>
        <w:left w:w="115.0" w:type="dxa"/>
        <w:bottom w:w="0.0" w:type="dxa"/>
        <w:right w:w="115.0" w:type="dxa"/>
      </w:tblCellMar>
    </w:tblPr>
  </w:style>
  <w:style w:type="table" w:styleId="Table3">
    <w:basedOn w:val="TableNormal"/>
    <w:pPr>
      <w:widowControl w:val="0"/>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ssix65cfIHO1bt2wXw5rafnIgg==">AMUW2mWKtb0/r2gFpJ/lKYp2t8Avl5tK+end/gniVKJ3gSM63pMztYz3/XqYLmGo6LLTkEY6+msbIs0+T9CkRQjsN5KxiK0X+vOgx9WmWuhrahlZsm6UtU4uFRxyJogozFKDSvDFnHMI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2021-08-26T11:51:00Z</dcterms:created>
  <dc:creator>CASPER</dc:creator>
</cp:coreProperties>
</file>